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B8" w:rsidRDefault="007F61B8" w:rsidP="007F61B8">
      <w:pPr>
        <w:jc w:val="center"/>
        <w:rPr>
          <w:b/>
          <w:sz w:val="22"/>
        </w:rPr>
      </w:pPr>
      <w:r w:rsidRPr="001E249E">
        <w:rPr>
          <w:b/>
          <w:sz w:val="22"/>
        </w:rPr>
        <w:t>ACTA</w:t>
      </w:r>
      <w:r w:rsidR="00235A9C">
        <w:rPr>
          <w:b/>
          <w:sz w:val="22"/>
        </w:rPr>
        <w:t xml:space="preserve"> Nº 30</w:t>
      </w:r>
    </w:p>
    <w:p w:rsidR="007F61B8" w:rsidRDefault="007F61B8" w:rsidP="007F61B8">
      <w:pPr>
        <w:jc w:val="center"/>
        <w:rPr>
          <w:sz w:val="22"/>
        </w:rPr>
      </w:pPr>
    </w:p>
    <w:tbl>
      <w:tblPr>
        <w:tblW w:w="9452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2"/>
        <w:gridCol w:w="5577"/>
        <w:gridCol w:w="425"/>
        <w:gridCol w:w="1276"/>
        <w:gridCol w:w="992"/>
      </w:tblGrid>
      <w:tr w:rsidR="007F61B8" w:rsidRPr="00BD5377" w:rsidTr="00511024">
        <w:trPr>
          <w:trHeight w:val="911"/>
        </w:trPr>
        <w:tc>
          <w:tcPr>
            <w:tcW w:w="7184" w:type="dxa"/>
            <w:gridSpan w:val="3"/>
            <w:shd w:val="clear" w:color="auto" w:fill="E0E0E0"/>
          </w:tcPr>
          <w:p w:rsidR="007F61B8" w:rsidRPr="00BD5377" w:rsidRDefault="007F61B8" w:rsidP="002C30BE">
            <w:pPr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  <w:r w:rsidRPr="00BD5377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Reunión: </w:t>
            </w:r>
            <w:r w:rsidRPr="00BD537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 xml:space="preserve">Sesión </w:t>
            </w:r>
            <w:r w:rsidR="00511024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Ordinaria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 xml:space="preserve"> Mesa Indígena</w:t>
            </w:r>
          </w:p>
          <w:p w:rsidR="007F61B8" w:rsidRPr="00BD5377" w:rsidRDefault="007F61B8" w:rsidP="002C30BE">
            <w:pPr>
              <w:outlineLvl w:val="0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  <w:p w:rsidR="007F61B8" w:rsidRPr="00BD5377" w:rsidRDefault="007F61B8" w:rsidP="002C30BE">
            <w:pPr>
              <w:outlineLvl w:val="0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shd w:val="clear" w:color="auto" w:fill="E0E0E0"/>
          </w:tcPr>
          <w:p w:rsidR="007F61B8" w:rsidRPr="00511024" w:rsidRDefault="00511024" w:rsidP="002C30BE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  <w:r w:rsidRPr="00511024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 xml:space="preserve">Fecha: </w:t>
            </w:r>
            <w:r w:rsidR="00D44203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28/05</w:t>
            </w:r>
            <w:r w:rsidR="00BD3295" w:rsidRPr="00BD3295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/2015</w:t>
            </w:r>
          </w:p>
        </w:tc>
      </w:tr>
      <w:tr w:rsidR="007F61B8" w:rsidRPr="00BD5377" w:rsidTr="00BD3295">
        <w:trPr>
          <w:trHeight w:val="400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E6E6E6"/>
          </w:tcPr>
          <w:p w:rsidR="007F61B8" w:rsidRPr="00BD5377" w:rsidRDefault="007F61B8" w:rsidP="002C30BE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D5377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Asistentes</w:t>
            </w:r>
          </w:p>
        </w:tc>
        <w:tc>
          <w:tcPr>
            <w:tcW w:w="6002" w:type="dxa"/>
            <w:gridSpan w:val="2"/>
            <w:tcBorders>
              <w:bottom w:val="single" w:sz="4" w:space="0" w:color="auto"/>
            </w:tcBorders>
          </w:tcPr>
          <w:p w:rsidR="007F61B8" w:rsidRPr="00BD5377" w:rsidRDefault="007F61B8" w:rsidP="002C30BE">
            <w:pPr>
              <w:tabs>
                <w:tab w:val="left" w:pos="153"/>
              </w:tabs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D5377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Se adjunta </w:t>
            </w:r>
            <w:r w:rsidR="00BD3295">
              <w:rPr>
                <w:rFonts w:ascii="Arial Narrow" w:hAnsi="Arial Narrow" w:cs="Arial"/>
                <w:sz w:val="20"/>
                <w:szCs w:val="20"/>
                <w:lang w:val="es-ES"/>
              </w:rPr>
              <w:t>acta o planilla de asistencia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F61B8" w:rsidRPr="00BD5377" w:rsidRDefault="00BD3295" w:rsidP="002C30BE">
            <w:pPr>
              <w:tabs>
                <w:tab w:val="left" w:pos="145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D3295">
              <w:rPr>
                <w:rFonts w:ascii="Arial Narrow" w:hAnsi="Arial Narrow" w:cs="Arial"/>
                <w:b/>
                <w:sz w:val="20"/>
                <w:szCs w:val="20"/>
              </w:rPr>
              <w:t>Lugar: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Intendencia de Santiago</w:t>
            </w:r>
          </w:p>
        </w:tc>
      </w:tr>
      <w:tr w:rsidR="007F61B8" w:rsidRPr="00BD5377" w:rsidTr="00BD3295">
        <w:trPr>
          <w:trHeight w:val="491"/>
        </w:trPr>
        <w:tc>
          <w:tcPr>
            <w:tcW w:w="9452" w:type="dxa"/>
            <w:gridSpan w:val="5"/>
            <w:shd w:val="clear" w:color="auto" w:fill="E6E6E6"/>
            <w:vAlign w:val="center"/>
          </w:tcPr>
          <w:p w:rsidR="007F61B8" w:rsidRPr="00BD5377" w:rsidRDefault="007F61B8" w:rsidP="00BD3295">
            <w:pPr>
              <w:jc w:val="center"/>
              <w:outlineLvl w:val="4"/>
              <w:rPr>
                <w:rFonts w:ascii="Trebuchet MS" w:hAnsi="Trebuchet MS" w:cs="Arial"/>
                <w:b/>
                <w:sz w:val="20"/>
                <w:szCs w:val="20"/>
                <w:lang w:val="es-ES"/>
              </w:rPr>
            </w:pPr>
            <w:r w:rsidRPr="00BD5377">
              <w:rPr>
                <w:rFonts w:ascii="Trebuchet MS" w:hAnsi="Trebuchet MS" w:cs="Arial"/>
                <w:b/>
                <w:sz w:val="20"/>
                <w:szCs w:val="20"/>
                <w:lang w:val="es-ES"/>
              </w:rPr>
              <w:t>INFORME DE TEMAS</w:t>
            </w:r>
          </w:p>
        </w:tc>
      </w:tr>
      <w:tr w:rsidR="007F61B8" w:rsidRPr="00BD5377" w:rsidTr="002C30BE">
        <w:tc>
          <w:tcPr>
            <w:tcW w:w="9452" w:type="dxa"/>
            <w:gridSpan w:val="5"/>
            <w:shd w:val="clear" w:color="auto" w:fill="E6E6E6"/>
          </w:tcPr>
          <w:p w:rsidR="007F61B8" w:rsidRPr="00BD5377" w:rsidRDefault="007F61B8" w:rsidP="002C30BE">
            <w:pPr>
              <w:rPr>
                <w:rFonts w:ascii="Trebuchet MS" w:hAnsi="Trebuchet MS" w:cs="Arial"/>
                <w:b/>
                <w:sz w:val="20"/>
                <w:szCs w:val="20"/>
                <w:lang w:val="es-ES"/>
              </w:rPr>
            </w:pPr>
            <w:r w:rsidRPr="00BD5377">
              <w:rPr>
                <w:rFonts w:ascii="Trebuchet MS" w:hAnsi="Trebuchet MS" w:cs="Arial"/>
                <w:b/>
                <w:sz w:val="20"/>
                <w:szCs w:val="20"/>
                <w:lang w:val="es-ES"/>
              </w:rPr>
              <w:t>Discusión</w:t>
            </w:r>
          </w:p>
        </w:tc>
      </w:tr>
      <w:tr w:rsidR="007F61B8" w:rsidRPr="00BD5377" w:rsidTr="002C30BE">
        <w:trPr>
          <w:trHeight w:val="956"/>
        </w:trPr>
        <w:tc>
          <w:tcPr>
            <w:tcW w:w="9452" w:type="dxa"/>
            <w:gridSpan w:val="5"/>
          </w:tcPr>
          <w:p w:rsidR="007F61B8" w:rsidRDefault="00511024" w:rsidP="005110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a)</w:t>
            </w:r>
            <w:r w:rsidR="00BD329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56411">
              <w:rPr>
                <w:rFonts w:ascii="Arial Narrow" w:hAnsi="Arial Narrow" w:cs="Arial"/>
                <w:sz w:val="20"/>
                <w:szCs w:val="20"/>
              </w:rPr>
              <w:t xml:space="preserve">Conocer </w:t>
            </w:r>
            <w:r w:rsidR="009A0396">
              <w:rPr>
                <w:rFonts w:ascii="Arial Narrow" w:hAnsi="Arial Narrow" w:cs="Arial"/>
                <w:sz w:val="20"/>
                <w:szCs w:val="20"/>
              </w:rPr>
              <w:t>opinión para</w:t>
            </w:r>
            <w:r w:rsidR="00B56411">
              <w:rPr>
                <w:rFonts w:ascii="Arial Narrow" w:hAnsi="Arial Narrow" w:cs="Arial"/>
                <w:sz w:val="20"/>
                <w:szCs w:val="20"/>
              </w:rPr>
              <w:t xml:space="preserve"> reformular reglamento de sala </w:t>
            </w:r>
            <w:r w:rsidR="009A0396">
              <w:rPr>
                <w:rFonts w:ascii="Arial Narrow" w:hAnsi="Arial Narrow" w:cs="Arial"/>
                <w:sz w:val="20"/>
                <w:szCs w:val="20"/>
              </w:rPr>
              <w:t xml:space="preserve">y </w:t>
            </w:r>
            <w:r w:rsidR="00B56411">
              <w:rPr>
                <w:rFonts w:ascii="Arial Narrow" w:hAnsi="Arial Narrow" w:cs="Arial"/>
                <w:sz w:val="20"/>
                <w:szCs w:val="20"/>
              </w:rPr>
              <w:t>para escoger nuevos representantes en las comunas de la RM.</w:t>
            </w:r>
          </w:p>
          <w:p w:rsidR="009A0396" w:rsidRDefault="00511024" w:rsidP="009A039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</w:t>
            </w:r>
            <w:r w:rsidR="00BD329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56411">
              <w:rPr>
                <w:rFonts w:ascii="Arial Narrow" w:hAnsi="Arial Narrow" w:cs="Arial"/>
                <w:sz w:val="20"/>
                <w:szCs w:val="20"/>
              </w:rPr>
              <w:t>Labores de la Unidad de Asuntos Indígenas del GORE y definición de demandas</w:t>
            </w:r>
            <w:r w:rsidR="009A0396">
              <w:rPr>
                <w:rFonts w:ascii="Arial Narrow" w:hAnsi="Arial Narrow" w:cs="Arial"/>
                <w:sz w:val="20"/>
                <w:szCs w:val="20"/>
              </w:rPr>
              <w:t xml:space="preserve"> y prioridades a trabajar</w:t>
            </w:r>
            <w:r w:rsidR="004C35CF">
              <w:rPr>
                <w:rFonts w:ascii="Arial Narrow" w:hAnsi="Arial Narrow" w:cs="Arial"/>
                <w:sz w:val="20"/>
                <w:szCs w:val="20"/>
              </w:rPr>
              <w:t xml:space="preserve"> (detalles en el audio de la Mesa)</w:t>
            </w:r>
            <w:r w:rsidR="00B56411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11024" w:rsidRPr="007F61B8" w:rsidRDefault="00511024" w:rsidP="009A039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</w:t>
            </w:r>
            <w:r w:rsidR="009A0396">
              <w:rPr>
                <w:rFonts w:ascii="Arial Narrow" w:hAnsi="Arial Narrow" w:cs="Arial"/>
                <w:sz w:val="20"/>
                <w:szCs w:val="20"/>
              </w:rPr>
              <w:t xml:space="preserve"> Retomar acuerdos pendientes </w:t>
            </w:r>
            <w:r w:rsidR="00BD3295">
              <w:rPr>
                <w:rFonts w:ascii="Arial Narrow" w:hAnsi="Arial Narrow" w:cs="Arial"/>
                <w:sz w:val="20"/>
                <w:szCs w:val="20"/>
              </w:rPr>
              <w:t xml:space="preserve">y </w:t>
            </w:r>
            <w:r w:rsidR="00B56411">
              <w:rPr>
                <w:rFonts w:ascii="Arial Narrow" w:hAnsi="Arial Narrow" w:cs="Arial"/>
                <w:sz w:val="20"/>
                <w:szCs w:val="20"/>
              </w:rPr>
              <w:t xml:space="preserve">citar al </w:t>
            </w:r>
            <w:r w:rsidR="00BD3295">
              <w:rPr>
                <w:rFonts w:ascii="Arial Narrow" w:hAnsi="Arial Narrow" w:cs="Arial"/>
                <w:sz w:val="20"/>
                <w:szCs w:val="20"/>
              </w:rPr>
              <w:t>trabajo de comisiones.</w:t>
            </w:r>
          </w:p>
        </w:tc>
      </w:tr>
      <w:tr w:rsidR="007F61B8" w:rsidRPr="00BD5377" w:rsidTr="00CA343F">
        <w:tc>
          <w:tcPr>
            <w:tcW w:w="6759" w:type="dxa"/>
            <w:gridSpan w:val="2"/>
            <w:shd w:val="clear" w:color="auto" w:fill="E6E6E6"/>
          </w:tcPr>
          <w:p w:rsidR="007F61B8" w:rsidRPr="00BD5377" w:rsidRDefault="007F61B8" w:rsidP="00BD329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5377">
              <w:rPr>
                <w:rFonts w:ascii="Arial Narrow" w:hAnsi="Arial Narrow" w:cs="Arial"/>
                <w:b/>
                <w:sz w:val="20"/>
                <w:szCs w:val="20"/>
              </w:rPr>
              <w:t>Acuerdos</w:t>
            </w:r>
            <w:r w:rsidR="004C35CF">
              <w:rPr>
                <w:rFonts w:ascii="Arial Narrow" w:hAnsi="Arial Narrow" w:cs="Arial"/>
                <w:b/>
                <w:sz w:val="20"/>
                <w:szCs w:val="20"/>
              </w:rPr>
              <w:t xml:space="preserve"> y/o</w:t>
            </w:r>
            <w:r w:rsidR="00BD329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A0396">
              <w:rPr>
                <w:rFonts w:ascii="Arial Narrow" w:hAnsi="Arial Narrow" w:cs="Arial"/>
                <w:b/>
                <w:sz w:val="20"/>
                <w:szCs w:val="20"/>
              </w:rPr>
              <w:t>Hechos</w:t>
            </w:r>
          </w:p>
        </w:tc>
        <w:tc>
          <w:tcPr>
            <w:tcW w:w="1701" w:type="dxa"/>
            <w:gridSpan w:val="2"/>
            <w:shd w:val="clear" w:color="auto" w:fill="E6E6E6"/>
          </w:tcPr>
          <w:p w:rsidR="007F61B8" w:rsidRPr="00BD5377" w:rsidRDefault="007F61B8" w:rsidP="002C30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5377">
              <w:rPr>
                <w:rFonts w:ascii="Arial Narrow" w:hAnsi="Arial Narrow" w:cs="Arial"/>
                <w:sz w:val="20"/>
                <w:szCs w:val="20"/>
              </w:rPr>
              <w:t xml:space="preserve">Responsable </w:t>
            </w:r>
          </w:p>
        </w:tc>
        <w:tc>
          <w:tcPr>
            <w:tcW w:w="992" w:type="dxa"/>
            <w:shd w:val="clear" w:color="auto" w:fill="E6E6E6"/>
          </w:tcPr>
          <w:p w:rsidR="007F61B8" w:rsidRPr="00BD5377" w:rsidRDefault="007F61B8" w:rsidP="002C30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5377">
              <w:rPr>
                <w:rFonts w:ascii="Arial Narrow" w:hAnsi="Arial Narrow" w:cs="Arial"/>
                <w:sz w:val="20"/>
                <w:szCs w:val="20"/>
              </w:rPr>
              <w:t>Plazo</w:t>
            </w:r>
          </w:p>
        </w:tc>
      </w:tr>
      <w:tr w:rsidR="007F61B8" w:rsidRPr="00BD5377" w:rsidTr="0091319F">
        <w:trPr>
          <w:trHeight w:val="1369"/>
        </w:trPr>
        <w:tc>
          <w:tcPr>
            <w:tcW w:w="6759" w:type="dxa"/>
            <w:gridSpan w:val="2"/>
          </w:tcPr>
          <w:p w:rsidR="007F61B8" w:rsidRPr="00CA343F" w:rsidRDefault="009A0396" w:rsidP="00F56184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 presenta el lineamiento que tiene el GORE (Unidad de Asuntos Indígenas) desde el 2013 el cual </w:t>
            </w:r>
            <w:r w:rsidR="00F56184">
              <w:rPr>
                <w:rFonts w:ascii="Arial Narrow" w:hAnsi="Arial Narrow" w:cs="Arial"/>
                <w:sz w:val="20"/>
                <w:szCs w:val="20"/>
              </w:rPr>
              <w:t>puede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enfocarse a formular proyectos municipales y programas regionales utilizando el FNDR</w:t>
            </w:r>
            <w:r w:rsidR="004C35CF">
              <w:rPr>
                <w:rFonts w:ascii="Arial Narrow" w:hAnsi="Arial Narrow" w:cs="Arial"/>
                <w:sz w:val="20"/>
                <w:szCs w:val="20"/>
              </w:rPr>
              <w:t xml:space="preserve"> para satisfacer las demandas indígenas a través de los organismos estratégicos con los que ejecuta el GORE</w:t>
            </w:r>
            <w:r>
              <w:rPr>
                <w:rFonts w:ascii="Arial Narrow" w:hAnsi="Arial Narrow" w:cs="Arial"/>
                <w:sz w:val="20"/>
                <w:szCs w:val="20"/>
              </w:rPr>
              <w:t>. Se enviará PPT presentado.</w:t>
            </w:r>
          </w:p>
        </w:tc>
        <w:tc>
          <w:tcPr>
            <w:tcW w:w="1701" w:type="dxa"/>
            <w:gridSpan w:val="2"/>
          </w:tcPr>
          <w:p w:rsidR="007F61B8" w:rsidRPr="00BD5377" w:rsidRDefault="009A0396" w:rsidP="0091319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Unidad de Asuntos Indígenas GORE</w:t>
            </w:r>
            <w:r w:rsidR="009131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F61B8" w:rsidRPr="00BD5377" w:rsidRDefault="00F56184" w:rsidP="0091319F">
            <w:pPr>
              <w:ind w:left="-14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día</w:t>
            </w:r>
          </w:p>
        </w:tc>
      </w:tr>
      <w:tr w:rsidR="007F61B8" w:rsidRPr="00BD5377" w:rsidTr="0091319F">
        <w:trPr>
          <w:trHeight w:val="1198"/>
        </w:trPr>
        <w:tc>
          <w:tcPr>
            <w:tcW w:w="6759" w:type="dxa"/>
            <w:gridSpan w:val="2"/>
          </w:tcPr>
          <w:p w:rsidR="007F61B8" w:rsidRPr="00685B77" w:rsidRDefault="007F61B8" w:rsidP="00F56184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A0396">
              <w:rPr>
                <w:rFonts w:ascii="Arial Narrow" w:hAnsi="Arial Narrow" w:cs="Arial"/>
                <w:sz w:val="20"/>
                <w:szCs w:val="20"/>
              </w:rPr>
              <w:t>Se discute sobre la representatividad de la Mesa y sobre el posible Trabajo con los Municipios</w:t>
            </w:r>
            <w:r w:rsidR="008422C2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9A039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C35CF">
              <w:rPr>
                <w:rFonts w:ascii="Arial Narrow" w:hAnsi="Arial Narrow" w:cs="Arial"/>
                <w:sz w:val="20"/>
                <w:szCs w:val="20"/>
              </w:rPr>
              <w:t>Se espera que los recursos bajen a través de otros mecanismo (como el trabajo con CORFO</w:t>
            </w:r>
            <w:r w:rsidR="00F56184">
              <w:rPr>
                <w:rFonts w:ascii="Arial Narrow" w:hAnsi="Arial Narrow" w:cs="Arial"/>
                <w:sz w:val="20"/>
                <w:szCs w:val="20"/>
              </w:rPr>
              <w:t>, SERCOTEC, FOSIS</w:t>
            </w:r>
            <w:r w:rsidR="004C35CF">
              <w:rPr>
                <w:rFonts w:ascii="Arial Narrow" w:hAnsi="Arial Narrow" w:cs="Arial"/>
                <w:sz w:val="20"/>
                <w:szCs w:val="20"/>
              </w:rPr>
              <w:t xml:space="preserve"> u otros servicios) y no necesariamente </w:t>
            </w:r>
            <w:r w:rsidR="00F56184">
              <w:rPr>
                <w:rFonts w:ascii="Arial Narrow" w:hAnsi="Arial Narrow" w:cs="Arial"/>
                <w:sz w:val="20"/>
                <w:szCs w:val="20"/>
              </w:rPr>
              <w:t>desde las municipalidades</w:t>
            </w:r>
            <w:r w:rsidR="004C35CF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gridSpan w:val="2"/>
          </w:tcPr>
          <w:p w:rsidR="007F61B8" w:rsidRDefault="00B56411" w:rsidP="009A039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Mesa Regional Indígena</w:t>
            </w:r>
          </w:p>
        </w:tc>
        <w:tc>
          <w:tcPr>
            <w:tcW w:w="992" w:type="dxa"/>
            <w:vAlign w:val="center"/>
          </w:tcPr>
          <w:p w:rsidR="007F61B8" w:rsidRDefault="007F61B8" w:rsidP="0091319F">
            <w:pPr>
              <w:ind w:left="-14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F61B8" w:rsidRDefault="007F61B8" w:rsidP="0091319F">
            <w:pPr>
              <w:ind w:left="-14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61B8" w:rsidRPr="00BD5377" w:rsidTr="0091319F">
        <w:trPr>
          <w:trHeight w:val="1116"/>
        </w:trPr>
        <w:tc>
          <w:tcPr>
            <w:tcW w:w="6759" w:type="dxa"/>
            <w:gridSpan w:val="2"/>
          </w:tcPr>
          <w:p w:rsidR="007F61B8" w:rsidRDefault="004C35CF" w:rsidP="0080644F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 expone </w:t>
            </w:r>
            <w:r w:rsidR="0080644F">
              <w:rPr>
                <w:rFonts w:ascii="Arial Narrow" w:hAnsi="Arial Narrow" w:cs="Arial"/>
                <w:sz w:val="20"/>
                <w:szCs w:val="20"/>
              </w:rPr>
              <w:t>la directriz estableci</w:t>
            </w:r>
            <w:r w:rsidR="00F56184">
              <w:rPr>
                <w:rFonts w:ascii="Arial Narrow" w:hAnsi="Arial Narrow" w:cs="Arial"/>
                <w:sz w:val="20"/>
                <w:szCs w:val="20"/>
              </w:rPr>
              <w:t>da por las jefaturas del GORE pa</w:t>
            </w:r>
            <w:r w:rsidR="0080644F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F56184">
              <w:rPr>
                <w:rFonts w:ascii="Arial Narrow" w:hAnsi="Arial Narrow" w:cs="Arial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realizar un estudio y proceso de participación para formular</w:t>
            </w:r>
            <w:r w:rsidR="0080644F">
              <w:rPr>
                <w:rFonts w:ascii="Arial Narrow" w:hAnsi="Arial Narrow" w:cs="Arial"/>
                <w:sz w:val="20"/>
                <w:szCs w:val="20"/>
              </w:rPr>
              <w:t xml:space="preserve"> una P</w:t>
            </w: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80644F">
              <w:rPr>
                <w:rFonts w:ascii="Arial Narrow" w:hAnsi="Arial Narrow" w:cs="Arial"/>
                <w:sz w:val="20"/>
                <w:szCs w:val="20"/>
              </w:rPr>
              <w:t>O</w:t>
            </w:r>
            <w:r>
              <w:rPr>
                <w:rFonts w:ascii="Arial Narrow" w:hAnsi="Arial Narrow" w:cs="Arial"/>
                <w:sz w:val="20"/>
                <w:szCs w:val="20"/>
              </w:rPr>
              <w:t>PUESTA</w:t>
            </w:r>
            <w:r w:rsidR="0080644F">
              <w:rPr>
                <w:rFonts w:ascii="Arial Narrow" w:hAnsi="Arial Narrow" w:cs="Arial"/>
                <w:sz w:val="20"/>
                <w:szCs w:val="20"/>
              </w:rPr>
              <w:t xml:space="preserve"> actualizada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de Política Regional Indígena Urbana por medio de una Consultora. Esta idea no tiene buena recepción por parte de algunos miembros</w:t>
            </w:r>
            <w:r w:rsidR="0080644F">
              <w:rPr>
                <w:rFonts w:ascii="Arial Narrow" w:hAnsi="Arial Narrow" w:cs="Arial"/>
                <w:sz w:val="20"/>
                <w:szCs w:val="20"/>
              </w:rPr>
              <w:t xml:space="preserve"> de la Mesa.</w:t>
            </w:r>
          </w:p>
        </w:tc>
        <w:tc>
          <w:tcPr>
            <w:tcW w:w="1701" w:type="dxa"/>
            <w:gridSpan w:val="2"/>
          </w:tcPr>
          <w:p w:rsidR="007F61B8" w:rsidRDefault="0091319F" w:rsidP="005204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Unidad de Asuntos Indígenas GORE.</w:t>
            </w:r>
          </w:p>
        </w:tc>
        <w:tc>
          <w:tcPr>
            <w:tcW w:w="992" w:type="dxa"/>
            <w:vAlign w:val="center"/>
          </w:tcPr>
          <w:p w:rsidR="007F61B8" w:rsidRDefault="005204E3" w:rsidP="0091319F">
            <w:pPr>
              <w:ind w:left="-14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 días</w:t>
            </w:r>
          </w:p>
        </w:tc>
      </w:tr>
      <w:tr w:rsidR="0080644F" w:rsidRPr="00BD5377" w:rsidTr="0091319F">
        <w:trPr>
          <w:trHeight w:val="1116"/>
        </w:trPr>
        <w:tc>
          <w:tcPr>
            <w:tcW w:w="6759" w:type="dxa"/>
            <w:gridSpan w:val="2"/>
          </w:tcPr>
          <w:p w:rsidR="0080644F" w:rsidRDefault="0080644F" w:rsidP="00B56411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Surge</w:t>
            </w:r>
            <w:r w:rsidR="00F56184">
              <w:rPr>
                <w:rFonts w:ascii="Arial Narrow" w:hAnsi="Arial Narrow" w:cs="Arial"/>
                <w:sz w:val="20"/>
                <w:szCs w:val="20"/>
              </w:rPr>
              <w:t>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ot</w:t>
            </w:r>
            <w:r w:rsidR="00B56411">
              <w:rPr>
                <w:rFonts w:ascii="Arial Narrow" w:hAnsi="Arial Narrow" w:cs="Arial"/>
                <w:sz w:val="20"/>
                <w:szCs w:val="20"/>
              </w:rPr>
              <w:t>ras propuestas como realizar la MRI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56411">
              <w:rPr>
                <w:rFonts w:ascii="Arial Narrow" w:hAnsi="Arial Narrow" w:cs="Arial"/>
                <w:sz w:val="20"/>
                <w:szCs w:val="20"/>
              </w:rPr>
              <w:t>fuera de la Intendencia;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realizar una reunión con el nuevo Ministro de Desarrollo Social</w:t>
            </w:r>
            <w:r w:rsidR="00F56184">
              <w:rPr>
                <w:rFonts w:ascii="Arial Narrow" w:hAnsi="Arial Narrow" w:cs="Arial"/>
                <w:sz w:val="20"/>
                <w:szCs w:val="20"/>
              </w:rPr>
              <w:t>;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realizar un seminario de trabajo </w:t>
            </w:r>
            <w:r w:rsidR="00F56184">
              <w:rPr>
                <w:rFonts w:ascii="Arial Narrow" w:hAnsi="Arial Narrow" w:cs="Arial"/>
                <w:sz w:val="20"/>
                <w:szCs w:val="20"/>
              </w:rPr>
              <w:t>con las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56184">
              <w:rPr>
                <w:rFonts w:ascii="Arial Narrow" w:hAnsi="Arial Narrow" w:cs="Arial"/>
                <w:sz w:val="20"/>
                <w:szCs w:val="20"/>
              </w:rPr>
              <w:t xml:space="preserve">Comisiones; apoyar a los comités de vivienda indígenas y sobre todo al comité de RECOLETA que participo de esta instancia; </w:t>
            </w:r>
            <w:r w:rsidR="006D0AC8">
              <w:rPr>
                <w:rFonts w:ascii="Arial Narrow" w:hAnsi="Arial Narrow" w:cs="Arial"/>
                <w:sz w:val="20"/>
                <w:szCs w:val="20"/>
              </w:rPr>
              <w:t xml:space="preserve">se expone la necesidad de establecer un reglamento que ordene el funcionamiento y participación de la Mesa, y </w:t>
            </w:r>
            <w:r w:rsidR="00F56184">
              <w:rPr>
                <w:rFonts w:ascii="Arial Narrow" w:hAnsi="Arial Narrow" w:cs="Arial"/>
                <w:sz w:val="20"/>
                <w:szCs w:val="20"/>
              </w:rPr>
              <w:t>además se reafirmar que hay muchos compromisos incumplidos y reiterativos que deben ser resueltos (detalles en audio de la reunión).</w:t>
            </w:r>
          </w:p>
        </w:tc>
        <w:tc>
          <w:tcPr>
            <w:tcW w:w="1701" w:type="dxa"/>
            <w:gridSpan w:val="2"/>
          </w:tcPr>
          <w:p w:rsidR="0080644F" w:rsidRDefault="00B56411" w:rsidP="005204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Mesas Regional Indígena</w:t>
            </w:r>
          </w:p>
        </w:tc>
        <w:tc>
          <w:tcPr>
            <w:tcW w:w="992" w:type="dxa"/>
            <w:vAlign w:val="center"/>
          </w:tcPr>
          <w:p w:rsidR="0080644F" w:rsidRDefault="0080644F" w:rsidP="0091319F">
            <w:pPr>
              <w:ind w:left="-14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6184" w:rsidRPr="00BD5377" w:rsidTr="0091319F">
        <w:trPr>
          <w:trHeight w:val="1116"/>
        </w:trPr>
        <w:tc>
          <w:tcPr>
            <w:tcW w:w="6759" w:type="dxa"/>
            <w:gridSpan w:val="2"/>
          </w:tcPr>
          <w:p w:rsidR="00F56184" w:rsidRDefault="00F56184" w:rsidP="00F56184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 Unidad de Asuntos Indígenas menciona su realidad y la incapacidad que tiene como organismo técnico para resolver múltiples demandas que son responsabilidad de otros servicios, pero menciona su voluntad de trabajar en proyectos y programas con la MESA y apoyar en la gestión de reuniones con autoridades y servicios pertinentes que puedan resolver otras problemáticas.</w:t>
            </w:r>
          </w:p>
        </w:tc>
        <w:tc>
          <w:tcPr>
            <w:tcW w:w="1701" w:type="dxa"/>
            <w:gridSpan w:val="2"/>
          </w:tcPr>
          <w:p w:rsidR="00F56184" w:rsidRDefault="00B56411" w:rsidP="005204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Unidad de Asuntos Indígenas</w:t>
            </w:r>
          </w:p>
        </w:tc>
        <w:tc>
          <w:tcPr>
            <w:tcW w:w="992" w:type="dxa"/>
            <w:vAlign w:val="center"/>
          </w:tcPr>
          <w:p w:rsidR="00F56184" w:rsidRDefault="00F56184" w:rsidP="0091319F">
            <w:pPr>
              <w:ind w:left="-14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12C2" w:rsidRPr="00BD5377" w:rsidTr="00EC688F">
        <w:trPr>
          <w:trHeight w:val="950"/>
        </w:trPr>
        <w:tc>
          <w:tcPr>
            <w:tcW w:w="6759" w:type="dxa"/>
            <w:gridSpan w:val="2"/>
          </w:tcPr>
          <w:p w:rsidR="002612C2" w:rsidRDefault="004C35CF" w:rsidP="00BE52D3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 establece como prioridad trabajar en </w:t>
            </w:r>
            <w:r w:rsidR="00F56184">
              <w:rPr>
                <w:rFonts w:ascii="Arial Narrow" w:hAnsi="Arial Narrow" w:cs="Arial"/>
                <w:sz w:val="20"/>
                <w:szCs w:val="20"/>
              </w:rPr>
              <w:t xml:space="preserve">tres </w:t>
            </w:r>
            <w:r>
              <w:rPr>
                <w:rFonts w:ascii="Arial Narrow" w:hAnsi="Arial Narrow" w:cs="Arial"/>
                <w:sz w:val="20"/>
                <w:szCs w:val="20"/>
              </w:rPr>
              <w:t>labores urgentes. 1) gestionar la celebración del año nuevo indígena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Tripantu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 de forma inmediata a través del trabajo c</w:t>
            </w:r>
            <w:r w:rsidR="00F56184">
              <w:rPr>
                <w:rFonts w:ascii="Arial Narrow" w:hAnsi="Arial Narrow" w:cs="Arial"/>
                <w:sz w:val="20"/>
                <w:szCs w:val="20"/>
              </w:rPr>
              <w:t xml:space="preserve">on la Comisión de </w:t>
            </w:r>
            <w:proofErr w:type="spellStart"/>
            <w:r w:rsidR="00F56184">
              <w:rPr>
                <w:rFonts w:ascii="Arial Narrow" w:hAnsi="Arial Narrow" w:cs="Arial"/>
                <w:sz w:val="20"/>
                <w:szCs w:val="20"/>
              </w:rPr>
              <w:t>Lonkos</w:t>
            </w:r>
            <w:proofErr w:type="spellEnd"/>
            <w:r w:rsidR="00F56184">
              <w:rPr>
                <w:rFonts w:ascii="Arial Narrow" w:hAnsi="Arial Narrow" w:cs="Arial"/>
                <w:sz w:val="20"/>
                <w:szCs w:val="20"/>
              </w:rPr>
              <w:t xml:space="preserve"> y o</w:t>
            </w:r>
            <w:r>
              <w:rPr>
                <w:rFonts w:ascii="Arial Narrow" w:hAnsi="Arial Narrow" w:cs="Arial"/>
                <w:sz w:val="20"/>
                <w:szCs w:val="20"/>
              </w:rPr>
              <w:t>tros actore</w:t>
            </w:r>
            <w:r w:rsidR="0080644F">
              <w:rPr>
                <w:rFonts w:ascii="Arial Narrow" w:hAnsi="Arial Narrow" w:cs="Arial"/>
                <w:sz w:val="20"/>
                <w:szCs w:val="20"/>
              </w:rPr>
              <w:t>s (reunión para el día 2 de Junio</w:t>
            </w:r>
            <w:r>
              <w:rPr>
                <w:rFonts w:ascii="Arial Narrow" w:hAnsi="Arial Narrow" w:cs="Arial"/>
                <w:sz w:val="20"/>
                <w:szCs w:val="20"/>
              </w:rPr>
              <w:t>). 2) se esta</w:t>
            </w:r>
            <w:r w:rsidR="00F56184">
              <w:rPr>
                <w:rFonts w:ascii="Arial Narrow" w:hAnsi="Arial Narrow" w:cs="Arial"/>
                <w:sz w:val="20"/>
                <w:szCs w:val="20"/>
              </w:rPr>
              <w:t>blece necesario trabajar en</w:t>
            </w:r>
            <w:r w:rsidR="00B56411">
              <w:rPr>
                <w:rFonts w:ascii="Arial Narrow" w:hAnsi="Arial Narrow" w:cs="Arial"/>
                <w:sz w:val="20"/>
                <w:szCs w:val="20"/>
              </w:rPr>
              <w:t xml:space="preserve"> y con</w:t>
            </w:r>
            <w:r w:rsidR="00F56184">
              <w:rPr>
                <w:rFonts w:ascii="Arial Narrow" w:hAnsi="Arial Narrow" w:cs="Arial"/>
                <w:sz w:val="20"/>
                <w:szCs w:val="20"/>
              </w:rPr>
              <w:t xml:space="preserve"> la Comisión de Fomento P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roductivo para </w:t>
            </w:r>
            <w:r w:rsidR="0080644F">
              <w:rPr>
                <w:rFonts w:ascii="Arial Narrow" w:hAnsi="Arial Narrow" w:cs="Arial"/>
                <w:sz w:val="20"/>
                <w:szCs w:val="20"/>
              </w:rPr>
              <w:t>elaborar</w:t>
            </w:r>
            <w:r w:rsidR="00F56184">
              <w:rPr>
                <w:rFonts w:ascii="Arial Narrow" w:hAnsi="Arial Narrow" w:cs="Arial"/>
                <w:sz w:val="20"/>
                <w:szCs w:val="20"/>
              </w:rPr>
              <w:t xml:space="preserve"> Plan de Desarrollo I</w:t>
            </w:r>
            <w:r>
              <w:rPr>
                <w:rFonts w:ascii="Arial Narrow" w:hAnsi="Arial Narrow" w:cs="Arial"/>
                <w:sz w:val="20"/>
                <w:szCs w:val="20"/>
              </w:rPr>
              <w:t>ntegral (en pro de usar la glosa</w:t>
            </w:r>
            <w:r w:rsidR="00F56184">
              <w:rPr>
                <w:rFonts w:ascii="Arial Narrow" w:hAnsi="Arial Narrow" w:cs="Arial"/>
                <w:sz w:val="20"/>
                <w:szCs w:val="20"/>
              </w:rPr>
              <w:t xml:space="preserve"> n°10) y el Programa de Fomento P</w:t>
            </w:r>
            <w:r>
              <w:rPr>
                <w:rFonts w:ascii="Arial Narrow" w:hAnsi="Arial Narrow" w:cs="Arial"/>
                <w:sz w:val="20"/>
                <w:szCs w:val="20"/>
              </w:rPr>
              <w:t>roductivo</w:t>
            </w:r>
            <w:r w:rsidR="00F56184">
              <w:rPr>
                <w:rFonts w:ascii="Arial Narrow" w:hAnsi="Arial Narrow" w:cs="Arial"/>
                <w:sz w:val="20"/>
                <w:szCs w:val="20"/>
              </w:rPr>
              <w:t xml:space="preserve"> en la RM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(reunión el día jueves 4 de Junio). Y 3) se requiere trabajar en la reformulación del </w:t>
            </w:r>
            <w:r w:rsidR="0080644F">
              <w:rPr>
                <w:rFonts w:ascii="Arial Narrow" w:hAnsi="Arial Narrow" w:cs="Arial"/>
                <w:sz w:val="20"/>
                <w:szCs w:val="20"/>
              </w:rPr>
              <w:t>reglamento de sal</w:t>
            </w:r>
            <w:r>
              <w:rPr>
                <w:rFonts w:ascii="Arial Narrow" w:hAnsi="Arial Narrow" w:cs="Arial"/>
                <w:sz w:val="20"/>
                <w:szCs w:val="20"/>
              </w:rPr>
              <w:t>a e idear un mecanismo d</w:t>
            </w:r>
            <w:r w:rsidR="0080644F">
              <w:rPr>
                <w:rFonts w:ascii="Arial Narrow" w:hAnsi="Arial Narrow" w:cs="Arial"/>
                <w:sz w:val="20"/>
                <w:szCs w:val="20"/>
              </w:rPr>
              <w:t>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0644F">
              <w:rPr>
                <w:rFonts w:ascii="Arial Narrow" w:hAnsi="Arial Narrow" w:cs="Arial"/>
                <w:sz w:val="20"/>
                <w:szCs w:val="20"/>
              </w:rPr>
              <w:t>transparencia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para realizar votación </w:t>
            </w:r>
            <w:r w:rsidR="00F56184">
              <w:rPr>
                <w:rFonts w:ascii="Arial Narrow" w:hAnsi="Arial Narrow" w:cs="Arial"/>
                <w:sz w:val="20"/>
                <w:szCs w:val="20"/>
              </w:rPr>
              <w:t xml:space="preserve">de representantes indígenas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en comunas con OAI, a través del trabajo con la Comisión de Ética (reunión el día viernes 5 de Junio). </w:t>
            </w:r>
          </w:p>
        </w:tc>
        <w:tc>
          <w:tcPr>
            <w:tcW w:w="1701" w:type="dxa"/>
            <w:gridSpan w:val="2"/>
          </w:tcPr>
          <w:p w:rsidR="002612C2" w:rsidRDefault="005204E3" w:rsidP="006819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Unidad de Asuntos Indígenas</w:t>
            </w:r>
            <w:r w:rsidR="0080644F">
              <w:rPr>
                <w:rFonts w:ascii="Arial Narrow" w:hAnsi="Arial Narrow" w:cs="Arial"/>
                <w:sz w:val="20"/>
                <w:szCs w:val="20"/>
              </w:rPr>
              <w:t xml:space="preserve"> y Comisiones</w:t>
            </w:r>
          </w:p>
        </w:tc>
        <w:tc>
          <w:tcPr>
            <w:tcW w:w="992" w:type="dxa"/>
            <w:vAlign w:val="center"/>
          </w:tcPr>
          <w:p w:rsidR="002612C2" w:rsidRDefault="00B56411" w:rsidP="0091319F">
            <w:pPr>
              <w:ind w:left="-14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80644F">
              <w:rPr>
                <w:rFonts w:ascii="Arial Narrow" w:hAnsi="Arial Narrow" w:cs="Arial"/>
                <w:sz w:val="20"/>
                <w:szCs w:val="20"/>
              </w:rPr>
              <w:t xml:space="preserve"> días</w:t>
            </w:r>
          </w:p>
        </w:tc>
      </w:tr>
    </w:tbl>
    <w:p w:rsidR="001F527C" w:rsidRDefault="001F527C" w:rsidP="007F61B8">
      <w:pPr>
        <w:jc w:val="both"/>
        <w:rPr>
          <w:sz w:val="22"/>
        </w:rPr>
      </w:pPr>
    </w:p>
    <w:p w:rsidR="0091319F" w:rsidRDefault="0091319F" w:rsidP="007F61B8">
      <w:pPr>
        <w:jc w:val="both"/>
        <w:rPr>
          <w:sz w:val="22"/>
        </w:rPr>
      </w:pPr>
    </w:p>
    <w:p w:rsidR="00BD3295" w:rsidRDefault="00BD3295" w:rsidP="007F61B8">
      <w:pPr>
        <w:jc w:val="both"/>
        <w:rPr>
          <w:sz w:val="22"/>
        </w:rPr>
      </w:pPr>
    </w:p>
    <w:p w:rsidR="007F61B8" w:rsidRDefault="006D0AC8" w:rsidP="007F61B8">
      <w:pPr>
        <w:jc w:val="both"/>
      </w:pPr>
      <w:proofErr w:type="spellStart"/>
      <w:r>
        <w:rPr>
          <w:sz w:val="22"/>
        </w:rPr>
        <w:t>JCdlP</w:t>
      </w:r>
      <w:proofErr w:type="spellEnd"/>
      <w:r>
        <w:rPr>
          <w:sz w:val="22"/>
        </w:rPr>
        <w:t>/MMF</w:t>
      </w:r>
    </w:p>
    <w:p w:rsidR="00DC1BA3" w:rsidRDefault="00D342BB">
      <w:r>
        <w:t xml:space="preserve"> </w:t>
      </w:r>
    </w:p>
    <w:sectPr w:rsidR="00DC1BA3" w:rsidSect="00F96505">
      <w:headerReference w:type="even" r:id="rId7"/>
      <w:headerReference w:type="default" r:id="rId8"/>
      <w:footerReference w:type="even" r:id="rId9"/>
      <w:footerReference w:type="default" r:id="rId10"/>
      <w:pgSz w:w="12240" w:h="18720" w:code="120"/>
      <w:pgMar w:top="1797" w:right="1082" w:bottom="1418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9C" w:rsidRDefault="00CD0B9C" w:rsidP="00D97873">
      <w:r>
        <w:separator/>
      </w:r>
    </w:p>
  </w:endnote>
  <w:endnote w:type="continuationSeparator" w:id="0">
    <w:p w:rsidR="00CD0B9C" w:rsidRDefault="00CD0B9C" w:rsidP="00D97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62" w:rsidRDefault="00B61CA2" w:rsidP="000C11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75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7E62" w:rsidRDefault="00CD0B9C" w:rsidP="00657D7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62" w:rsidRPr="00C109D8" w:rsidRDefault="00097542" w:rsidP="00AF5328">
    <w:pPr>
      <w:pStyle w:val="Piedepgina"/>
      <w:ind w:right="360"/>
      <w:jc w:val="center"/>
      <w:rPr>
        <w:rFonts w:ascii="Verdana" w:hAnsi="Verdana"/>
        <w:sz w:val="16"/>
        <w:szCs w:val="16"/>
      </w:rPr>
    </w:pPr>
    <w:r w:rsidRPr="00C109D8">
      <w:rPr>
        <w:rFonts w:ascii="Verdana" w:hAnsi="Verdana"/>
        <w:sz w:val="16"/>
        <w:szCs w:val="16"/>
      </w:rPr>
      <w:t>__________________________________________________________</w:t>
    </w:r>
    <w:r>
      <w:rPr>
        <w:rFonts w:ascii="Verdana" w:hAnsi="Verdana"/>
        <w:sz w:val="16"/>
        <w:szCs w:val="16"/>
      </w:rPr>
      <w:t>______________________________</w:t>
    </w:r>
    <w:r w:rsidRPr="00C109D8">
      <w:rPr>
        <w:rFonts w:ascii="Verdana" w:hAnsi="Verdana"/>
        <w:sz w:val="16"/>
        <w:szCs w:val="16"/>
      </w:rPr>
      <w:t>_________</w:t>
    </w:r>
  </w:p>
  <w:p w:rsidR="003B7E62" w:rsidRPr="00C109D8" w:rsidRDefault="00097542" w:rsidP="00AF5328">
    <w:pPr>
      <w:pStyle w:val="Piedepgina"/>
      <w:ind w:right="3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Bandera 46, 4º piso, Of.416</w:t>
    </w:r>
    <w:r w:rsidRPr="00C109D8">
      <w:rPr>
        <w:rFonts w:ascii="Verdana" w:hAnsi="Verdana"/>
        <w:sz w:val="16"/>
        <w:szCs w:val="16"/>
      </w:rPr>
      <w:t xml:space="preserve">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Santiago de Chile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Tel: (56-2) 250 9</w:t>
    </w:r>
    <w:r>
      <w:rPr>
        <w:rFonts w:ascii="Verdana" w:hAnsi="Verdana"/>
        <w:sz w:val="16"/>
        <w:szCs w:val="16"/>
      </w:rPr>
      <w:t>353</w:t>
    </w:r>
    <w:r w:rsidRPr="00C109D8">
      <w:rPr>
        <w:rFonts w:ascii="Verdana" w:hAnsi="Verdana"/>
        <w:sz w:val="16"/>
        <w:szCs w:val="16"/>
      </w:rPr>
      <w:t xml:space="preserve">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www.gobiernosantiago.cl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9C" w:rsidRDefault="00CD0B9C" w:rsidP="00D97873">
      <w:r>
        <w:separator/>
      </w:r>
    </w:p>
  </w:footnote>
  <w:footnote w:type="continuationSeparator" w:id="0">
    <w:p w:rsidR="00CD0B9C" w:rsidRDefault="00CD0B9C" w:rsidP="00D97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62" w:rsidRDefault="00B61CA2" w:rsidP="000C111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75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7E62" w:rsidRDefault="00CD0B9C" w:rsidP="00404A61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62" w:rsidRDefault="00097542" w:rsidP="006E3A40">
    <w:pPr>
      <w:jc w:val="center"/>
      <w:rPr>
        <w:rFonts w:ascii="Arial Black" w:hAnsi="Arial Black"/>
        <w:color w:val="0066CC"/>
        <w:sz w:val="18"/>
        <w:szCs w:val="18"/>
      </w:rPr>
    </w:pPr>
    <w:r>
      <w:rPr>
        <w:rFonts w:ascii="Arial Black" w:hAnsi="Arial Black" w:cs="Arial"/>
        <w:b/>
        <w:noProof/>
        <w:color w:val="99CCFF"/>
        <w:sz w:val="20"/>
        <w:szCs w:val="20"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-337820</wp:posOffset>
          </wp:positionV>
          <wp:extent cx="647700" cy="1028700"/>
          <wp:effectExtent l="19050" t="0" r="0" b="0"/>
          <wp:wrapNone/>
          <wp:docPr id="9" name="Imagen 9" descr="Logo_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1CA2" w:rsidRPr="00B61CA2">
      <w:rPr>
        <w:rFonts w:ascii="Arial Black" w:hAnsi="Arial Black" w:cs="Arial"/>
        <w:b/>
        <w:noProof/>
        <w:color w:val="99CCFF"/>
        <w:sz w:val="20"/>
        <w:szCs w:val="20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3pt;margin-top:-26.1pt;width:205.1pt;height:97.9pt;z-index:251660288;mso-wrap-style:none;mso-width-percent:400;mso-position-horizontal-relative:text;mso-position-vertical-relative:text;mso-width-percent:400;mso-width-relative:margin;mso-height-relative:margin" filled="f" stroked="f">
          <v:textbox style="mso-next-textbox:#_x0000_s1025">
            <w:txbxContent>
              <w:p w:rsidR="002F21B0" w:rsidRDefault="00097542" w:rsidP="002F21B0">
                <w:r w:rsidRPr="001D4B6B">
                  <w:rPr>
                    <w:noProof/>
                    <w:lang w:eastAsia="es-CL"/>
                  </w:rPr>
                  <w:drawing>
                    <wp:inline distT="0" distB="0" distL="0" distR="0">
                      <wp:extent cx="850900" cy="971550"/>
                      <wp:effectExtent l="19050" t="0" r="6350" b="0"/>
                      <wp:docPr id="4" name="Imagen 4" descr="GOB_RGB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GOB_RGB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090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 Black" w:hAnsi="Arial Black"/>
        <w:color w:val="0066CC"/>
        <w:sz w:val="18"/>
        <w:szCs w:val="18"/>
      </w:rPr>
      <w:t xml:space="preserve">DIVISIÓN DE PLANIFICACIÓN Y DESARROLLO </w:t>
    </w:r>
  </w:p>
  <w:p w:rsidR="003B7E62" w:rsidRDefault="00097542" w:rsidP="006E3A40">
    <w:pPr>
      <w:jc w:val="center"/>
      <w:rPr>
        <w:rFonts w:ascii="Arial Black" w:hAnsi="Arial Black"/>
        <w:color w:val="0066CC"/>
        <w:sz w:val="18"/>
        <w:szCs w:val="18"/>
      </w:rPr>
    </w:pPr>
    <w:r>
      <w:rPr>
        <w:rFonts w:ascii="Arial Black" w:hAnsi="Arial Black"/>
        <w:color w:val="0066CC"/>
        <w:sz w:val="18"/>
        <w:szCs w:val="18"/>
      </w:rPr>
      <w:t>DEPARTAMENTO DE PLANIFICACION REGIONAL</w:t>
    </w:r>
  </w:p>
  <w:p w:rsidR="003B7E62" w:rsidRPr="00F41FF6" w:rsidRDefault="00097542" w:rsidP="006E3A40">
    <w:pPr>
      <w:jc w:val="center"/>
    </w:pPr>
    <w:r>
      <w:rPr>
        <w:rFonts w:ascii="Arial Black" w:hAnsi="Arial Black"/>
        <w:color w:val="0066CC"/>
        <w:sz w:val="18"/>
        <w:szCs w:val="18"/>
      </w:rPr>
      <w:t>UNIDAD DE ASUNTOS INDIGENAS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2F0C"/>
    <w:multiLevelType w:val="hybridMultilevel"/>
    <w:tmpl w:val="E034DE5A"/>
    <w:lvl w:ilvl="0" w:tplc="B8C85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B6657"/>
    <w:multiLevelType w:val="hybridMultilevel"/>
    <w:tmpl w:val="DCB0F40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2278E4"/>
    <w:multiLevelType w:val="hybridMultilevel"/>
    <w:tmpl w:val="23B6432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61B8"/>
    <w:rsid w:val="00097542"/>
    <w:rsid w:val="001F527C"/>
    <w:rsid w:val="00235A9C"/>
    <w:rsid w:val="002612C2"/>
    <w:rsid w:val="00297C6E"/>
    <w:rsid w:val="00373747"/>
    <w:rsid w:val="00473C62"/>
    <w:rsid w:val="004A6462"/>
    <w:rsid w:val="004C35CF"/>
    <w:rsid w:val="00511024"/>
    <w:rsid w:val="005204E3"/>
    <w:rsid w:val="00532DF5"/>
    <w:rsid w:val="00687944"/>
    <w:rsid w:val="006D0AC8"/>
    <w:rsid w:val="00707D5A"/>
    <w:rsid w:val="007F0A94"/>
    <w:rsid w:val="007F61B8"/>
    <w:rsid w:val="0080644F"/>
    <w:rsid w:val="008422C2"/>
    <w:rsid w:val="00902D88"/>
    <w:rsid w:val="0091319F"/>
    <w:rsid w:val="009207E8"/>
    <w:rsid w:val="009A0396"/>
    <w:rsid w:val="00A07D5D"/>
    <w:rsid w:val="00A155C0"/>
    <w:rsid w:val="00AF68DE"/>
    <w:rsid w:val="00B56411"/>
    <w:rsid w:val="00B61CA2"/>
    <w:rsid w:val="00BD3295"/>
    <w:rsid w:val="00BE52D3"/>
    <w:rsid w:val="00CA343F"/>
    <w:rsid w:val="00CD0B9C"/>
    <w:rsid w:val="00D342BB"/>
    <w:rsid w:val="00D44203"/>
    <w:rsid w:val="00D62D81"/>
    <w:rsid w:val="00D97873"/>
    <w:rsid w:val="00DC1BA3"/>
    <w:rsid w:val="00DE0C0F"/>
    <w:rsid w:val="00E14931"/>
    <w:rsid w:val="00E40471"/>
    <w:rsid w:val="00EC688F"/>
    <w:rsid w:val="00F237EA"/>
    <w:rsid w:val="00F56184"/>
    <w:rsid w:val="00FA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61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61B8"/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Nmerodepgina">
    <w:name w:val="page number"/>
    <w:basedOn w:val="Fuentedeprrafopredeter"/>
    <w:rsid w:val="007F61B8"/>
  </w:style>
  <w:style w:type="paragraph" w:styleId="Piedepgina">
    <w:name w:val="footer"/>
    <w:basedOn w:val="Normal"/>
    <w:link w:val="PiedepginaCar"/>
    <w:rsid w:val="007F6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61B8"/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1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1B8"/>
    <w:rPr>
      <w:rFonts w:ascii="Tahoma" w:eastAsia="Times New Roman" w:hAnsi="Tahoma" w:cs="Tahoma"/>
      <w:sz w:val="16"/>
      <w:szCs w:val="16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Dagoberto Ramirez</dc:creator>
  <cp:lastModifiedBy>mmarin</cp:lastModifiedBy>
  <cp:revision>6</cp:revision>
  <cp:lastPrinted>2014-07-31T20:11:00Z</cp:lastPrinted>
  <dcterms:created xsi:type="dcterms:W3CDTF">2015-05-29T17:27:00Z</dcterms:created>
  <dcterms:modified xsi:type="dcterms:W3CDTF">2015-05-29T18:19:00Z</dcterms:modified>
</cp:coreProperties>
</file>